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695325</wp:posOffset>
                </wp:positionH>
                <wp:positionV relativeFrom="page">
                  <wp:posOffset>-144772</wp:posOffset>
                </wp:positionV>
                <wp:extent cx="5808345" cy="2214966"/>
                <wp:effectExtent b="0" l="0" r="0" t="0"/>
                <wp:wrapNone/>
                <wp:docPr id="20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695325</wp:posOffset>
                </wp:positionH>
                <wp:positionV relativeFrom="page">
                  <wp:posOffset>-144772</wp:posOffset>
                </wp:positionV>
                <wp:extent cx="5808345" cy="2214966"/>
                <wp:effectExtent b="0" l="0" r="0" t="0"/>
                <wp:wrapNone/>
                <wp:docPr id="20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b="0" l="0" r="0" t="0"/>
            <wp:wrapNone/>
            <wp:docPr id="2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1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3721100</wp:posOffset>
                </wp:positionH>
                <wp:positionV relativeFrom="margin">
                  <wp:posOffset>1284238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0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3721100</wp:posOffset>
                </wp:positionH>
                <wp:positionV relativeFrom="margin">
                  <wp:posOffset>1284238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0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3b3b3b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1"/>
          <w:color w:val="3b3b3b"/>
          <w:sz w:val="44"/>
          <w:szCs w:val="44"/>
          <w:rtl w:val="0"/>
        </w:rPr>
        <w:t xml:space="preserve">FICHA De Aprendizaje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t xml:space="preserve"> #</w:t>
      </w:r>
      <w:r w:rsidDel="00000000" w:rsidR="00000000" w:rsidRPr="00000000">
        <w:rPr>
          <w:rFonts w:ascii="Arial" w:cs="Arial" w:eastAsia="Arial" w:hAnsi="Arial"/>
          <w:smallCaps w:val="1"/>
          <w:color w:val="3b3b3b"/>
          <w:sz w:val="44"/>
          <w:szCs w:val="44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a0ca"/>
          <w:sz w:val="52"/>
          <w:szCs w:val="52"/>
          <w:rtl w:val="0"/>
        </w:rPr>
        <w:t xml:space="preserve">INSTALACIÓN DE UN SERVIDOR DE GESTIÓN DE DATOS EN UN SITIO WEB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1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-492124</wp:posOffset>
                </wp:positionH>
                <wp:positionV relativeFrom="paragraph">
                  <wp:posOffset>1054063</wp:posOffset>
                </wp:positionV>
                <wp:extent cx="3616695" cy="1224550"/>
                <wp:effectExtent b="0" l="0" r="0" t="0"/>
                <wp:wrapNone/>
                <wp:docPr id="211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-492124</wp:posOffset>
                </wp:positionH>
                <wp:positionV relativeFrom="paragraph">
                  <wp:posOffset>1054063</wp:posOffset>
                </wp:positionV>
                <wp:extent cx="3616695" cy="1224550"/>
                <wp:effectExtent b="0" l="0" r="0" t="0"/>
                <wp:wrapNone/>
                <wp:docPr id="21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090" cy="44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1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rFonts w:ascii="Arial Black" w:cs="Arial Black" w:eastAsia="Arial Black" w:hAnsi="Arial Black"/>
          <w:color w:val="00a0ca"/>
          <w:sz w:val="36"/>
          <w:szCs w:val="36"/>
        </w:rPr>
      </w:pPr>
      <w:bookmarkStart w:colFirst="0" w:colLast="0" w:name="_heading=h.65wypv83tzsp" w:id="2"/>
      <w:bookmarkEnd w:id="2"/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objetivo principal de la actividad es que el alumno comprenda mejor los servidores de gestión de bases de datos y cómo instalarlos en un sitio web. Los alumnos encontrarán un servidor de gestión de bases de datos adecuado y, a continuación, lo implementarán en un sitio web propio.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OBJETIVOS DE APRENDIZAJE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finalizar esta actividad, el alumno será capaz de...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hacen los servidores de gestión de datos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Cómo instalar un servidor de gestión de bases de datos en un sitio web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Conocer más a fondo la gestión de bases de datos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lee la hoja de aprendizaje y sigue las instrucciones para asegurarse de que comprende perfectamente los pasos necesarios. El formador se asegura de que todos los recursos están disponibles y busca recursos adicionales si los originales no están disponibles.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ffc000"/>
          <w:sz w:val="28"/>
          <w:szCs w:val="28"/>
          <w:rtl w:val="0"/>
        </w:rPr>
        <w:t xml:space="preserve">CURSOS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Archivo LS Servidor de gestión de bases de datos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hyperlink r:id="rId15">
        <w:r w:rsidDel="00000000" w:rsidR="00000000" w:rsidRPr="00000000">
          <w:rPr>
            <w:rFonts w:ascii="Calibri" w:cs="Calibri" w:eastAsia="Calibri" w:hAnsi="Calibri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https://www.appdynamics.com/topics/database-management-systems</w:t>
        </w:r>
      </w:hyperlink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INSTRUCCIONES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alumnos deben completar primero el reto nº 15 sobre gestión de datos. Después, deberán leer más sobre la gestión de datos, tal y como se aconseja en los recursos del reto y en esta ficha de aprendizaje. Debata con los alumnos por qué es importante la gestión de bases de datos. Como último paso, deberán descargar e instalar un sistema de gestión de bases de datos en su sitio web.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ffc000"/>
          <w:sz w:val="28"/>
          <w:szCs w:val="28"/>
          <w:rtl w:val="0"/>
        </w:rPr>
        <w:t xml:space="preserve">CURSOS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Enlace al reto nº 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IMPLEMENTACIÓN</w:t>
      </w:r>
    </w:p>
    <w:p w:rsidR="00000000" w:rsidDel="00000000" w:rsidP="00000000" w:rsidRDefault="00000000" w:rsidRPr="00000000" w14:paraId="0000002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Tras completar el reto nº 15, los alumnos están preparados para instalar su software de gestión de bases de datos en su propia página web. Pueden trabajar en parejas o cada uno por su cuenta. El formador comprueba la correcta instalación e implementación del software. </w:t>
      </w:r>
    </w:p>
    <w:p w:rsidR="00000000" w:rsidDel="00000000" w:rsidP="00000000" w:rsidRDefault="00000000" w:rsidRPr="00000000" w14:paraId="0000002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Las actividades pueden ser abiertas o cerradas, por lo que puede haber una única respuesta correcta al problema o más. Por lo tanto, la evaluación puede basarse en el resultado obtenido o en la eficacia de dicho resultado o incluso en el rendimiento del equipo. En cualquier caso, puede seguir un debate en clase en el que los alumnos pueden presentar su trabajo y reflexionar sobre los distintos enfoques. Los alumnos reciben comentarios constructivos del formador y de sus compañeros.</w:t>
      </w:r>
    </w:p>
    <w:p w:rsidR="00000000" w:rsidDel="00000000" w:rsidP="00000000" w:rsidRDefault="00000000" w:rsidRPr="00000000" w14:paraId="0000002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4 - DEBATE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Una vez finalizada la tarea, puede celebrarse un debate en clase en el que los alumnos presenten su trabajo y reflexionen sobre los distintos enfoques. Los alumnos reciben comentarios constructivos del formador y de sus compañeros.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5 - EVALUACIÓN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evaluará los materiales elaborados, sugerirá mejoras y dará consejos.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Times New Roman" w:cs="Times New Roman" w:eastAsia="Times New Roman" w:hAnsi="Times New Roman"/>
          <w:color w:val="0070c0"/>
          <w:sz w:val="18"/>
          <w:szCs w:val="18"/>
          <w:u w:val="single"/>
          <w:rtl w:val="0"/>
        </w:rPr>
        <w:t xml:space="preserve">www.silvercoders.eu</w:t>
      </w:r>
    </w:hyperlink>
    <w:r w:rsidDel="00000000" w:rsidR="00000000" w:rsidRPr="00000000">
      <w:rPr>
        <w:rtl w:val="0"/>
      </w:rPr>
      <w:t xml:space="preserve">                                                           </w:t>
    </w:r>
    <w:r w:rsidDel="00000000" w:rsidR="00000000" w:rsidRPr="00000000">
      <w:rPr>
        <w:rFonts w:ascii="Calibri" w:cs="Calibri" w:eastAsia="Calibri" w:hAnsi="Calibri"/>
        <w:smallCaps w:val="1"/>
        <w:color w:val="00a0ca"/>
        <w:sz w:val="16"/>
        <w:szCs w:val="16"/>
        <w:rtl w:val="0"/>
      </w:rPr>
      <w:t xml:space="preserve">Este documento refleja únicamente la opinión del autor y la Agencia Nacional y la Comisión Europea no son responsables del uso que pueda hacerse de la información que contiene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b="0" l="0" r="0" t="0"/>
          <wp:wrapNone/>
          <wp:docPr id="2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20" w:before="0" w:line="240" w:lineRule="auto"/>
      <w:ind w:left="-45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rFonts w:ascii="Times New Roman" w:hAnsi="Times New Roman"/>
      <w:sz w:val="24"/>
      <w:szCs w:val="24"/>
      <w:lang w:eastAsia="it-IT" w:val="it-IT"/>
    </w:rPr>
  </w:style>
  <w:style w:type="paragraph" w:styleId="Rubrik1">
    <w:name w:val="heading 1"/>
    <w:next w:val="Normal"/>
    <w:link w:val="Rubrik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paragraph" w:styleId="Rubrik2">
    <w:name w:val="heading 2"/>
    <w:next w:val="Normal"/>
    <w:link w:val="Rubrik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paragraph" w:styleId="Rubrik3">
    <w:name w:val="heading 3"/>
    <w:basedOn w:val="Normal"/>
    <w:next w:val="Normal"/>
    <w:link w:val="Rubrik3Char"/>
    <w:uiPriority w:val="9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Standardstycketeckensnitt" w:default="1">
    <w:name w:val="Default Paragraph Font"/>
    <w:uiPriority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paragraph" w:styleId="Sidhuvud">
    <w:name w:val="header"/>
    <w:basedOn w:val="Normal"/>
    <w:link w:val="Sidhuvud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SidhuvudChar" w:customStyle="1">
    <w:name w:val="Sidhuvud Char"/>
    <w:basedOn w:val="Standardstycketeckensnitt"/>
    <w:link w:val="Sidhuvud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SidfotChar" w:customStyle="1">
    <w:name w:val="Sidfot Char"/>
    <w:basedOn w:val="Standardstycketeckensnitt"/>
    <w:link w:val="Sidfot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BallongtextChar" w:customStyle="1">
    <w:name w:val="Ballongtext Char"/>
    <w:link w:val="Ballongtext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getavstnd">
    <w:name w:val="No Spacing"/>
    <w:link w:val="Ingetavstnd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 w:val="1"/>
    <w:rsid w:val="006B0AB6"/>
    <w:pPr>
      <w:numPr>
        <w:numId w:val="23"/>
      </w:numPr>
      <w:contextualSpacing w:val="1"/>
    </w:pPr>
  </w:style>
  <w:style w:type="paragraph" w:styleId="Rubrik">
    <w:name w:val="Title"/>
    <w:basedOn w:val="Normal"/>
    <w:next w:val="Normal"/>
    <w:link w:val="RubrikChar"/>
    <w:uiPriority w:val="10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character" w:styleId="RubrikChar" w:customStyle="1">
    <w:name w:val="Rubrik Char"/>
    <w:basedOn w:val="Standardstycketeckensnitt"/>
    <w:link w:val="Rubrik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 w:val="1"/>
    <w:rsid w:val="00DD590D"/>
    <w:rPr>
      <w:rFonts w:ascii="Arial Bold" w:hAnsi="Arial Bold"/>
      <w:noProof w:val="1"/>
      <w:color w:val="808080" w:themeColor="background1" w:themeShade="000080"/>
      <w:spacing w:val="6"/>
      <w:sz w:val="36"/>
    </w:rPr>
  </w:style>
  <w:style w:type="character" w:styleId="UnderrubrikChar" w:customStyle="1">
    <w:name w:val="Underrubrik Char"/>
    <w:basedOn w:val="Standardstycketeckensnitt"/>
    <w:link w:val="Underrubrik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Rubrik1Char" w:customStyle="1">
    <w:name w:val="Rubrik 1 Char"/>
    <w:link w:val="Rubrik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Rubrik2Char" w:customStyle="1">
    <w:name w:val="Rubrik 2 Char"/>
    <w:link w:val="Rubrik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Rubrik3Char" w:customStyle="1">
    <w:name w:val="Rubrik 3 Char"/>
    <w:link w:val="Rubrik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Rubrik4Char" w:customStyle="1">
    <w:name w:val="Rubrik 4 Char"/>
    <w:link w:val="Rubrik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Rubrik5Char" w:customStyle="1">
    <w:name w:val="Rubrik 5 Char"/>
    <w:link w:val="Rubrik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Rubrik6Char" w:customStyle="1">
    <w:name w:val="Rubrik 6 Char"/>
    <w:link w:val="Rubrik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Rubrik7Char" w:customStyle="1">
    <w:name w:val="Rubrik 7 Char"/>
    <w:link w:val="Rubrik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Rubrik8Char" w:customStyle="1">
    <w:name w:val="Rubrik 8 Char"/>
    <w:link w:val="Rubrik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Rubrik9Char" w:customStyle="1">
    <w:name w:val="Rubrik 9 Char"/>
    <w:link w:val="Rubrik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Beskrivning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 w:val="1"/>
    <w:qFormat w:val="1"/>
    <w:rsid w:val="00DD590D"/>
    <w:pPr>
      <w:outlineLvl w:val="9"/>
    </w:pPr>
  </w:style>
  <w:style w:type="paragraph" w:styleId="Innehll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InnehllsfrteckningsrubrikChar" w:customStyle="1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Innehll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Innehll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Starktcitat">
    <w:name w:val="Intense Quote"/>
    <w:next w:val="Normal"/>
    <w:link w:val="StarktcitatCh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StarktcitatChar" w:customStyle="1">
    <w:name w:val="Starkt citat Char"/>
    <w:basedOn w:val="Standardstycketeckensnitt"/>
    <w:link w:val="Starktcitat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Citat">
    <w:name w:val="Quote"/>
    <w:next w:val="Normal"/>
    <w:link w:val="Citat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CitatChar" w:customStyle="1">
    <w:name w:val="Citat Char"/>
    <w:basedOn w:val="Standardstycketeckensnitt"/>
    <w:link w:val="Citat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lang w:eastAsia="it-IT"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Betoning">
    <w:name w:val="Emphasis"/>
    <w:basedOn w:val="Standardstycketeckensnitt"/>
    <w:uiPriority w:val="20"/>
    <w:qFormat w:val="1"/>
    <w:rsid w:val="006B0AB6"/>
    <w:rPr>
      <w:i w:val="1"/>
      <w:iCs w:val="1"/>
    </w:rPr>
  </w:style>
  <w:style w:type="character" w:styleId="Stark">
    <w:name w:val="Strong"/>
    <w:basedOn w:val="Standardstycketeckensnitt"/>
    <w:uiPriority w:val="22"/>
    <w:rsid w:val="0087023D"/>
    <w:rPr>
      <w:b w:val="1"/>
      <w:bCs w:val="1"/>
    </w:rPr>
  </w:style>
  <w:style w:type="table" w:styleId="Tabellrutnt1">
    <w:name w:val="Table Grid 1"/>
    <w:basedOn w:val="Normaltabel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Sidhuvud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SidhuvudChar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Underrubrik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RubrikCh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UnderrubrikChar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AnvndHyperlnk">
    <w:name w:val="FollowedHyperlink"/>
    <w:basedOn w:val="Standardstycketeckensnit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IngetavstndChar" w:customStyle="1">
    <w:name w:val="Inget avstånd Char"/>
    <w:basedOn w:val="Standardstycketeckensnitt"/>
    <w:link w:val="Ingetavstnd"/>
    <w:uiPriority w:val="1"/>
    <w:rsid w:val="00C815B1"/>
    <w:rPr>
      <w:rFonts w:ascii="Arial" w:hAnsi="Arial"/>
      <w:color w:val="ffffff" w:themeColor="background1"/>
      <w:szCs w:val="22"/>
    </w:r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yperlink" Target="https://www.appdynamics.com/topics/database-management-systems" TargetMode="External"/><Relationship Id="rId14" Type="http://schemas.openxmlformats.org/officeDocument/2006/relationships/image" Target="media/image2.png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mzom9JWYODISF+TEVu6I8RQk3w==">AMUW2mVbLRSzbNiYqLmrJfHHpbnSyj3RbhCVRsGZUPh4dj95AI1U3oH8oQnOa1bZwtk+yCEs9ZYg0GMMpD+wDfW81uEA7NJRghUr0wtGiIMmfPTD+lrJg+Z9yvcT2Wb4yZa/3INOxzbZ7SBQaFdHGrGgQNUwdPwRzPgPdEo1c7bTEM7kGpltNhQ=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2022-10-13T16:04:00Z</dcterms:created>
  <dc:creator>MacDonald, Benjamin</dc:creator>
</cp:coreProperties>
</file>